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XI/19/23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objęcia patronatem wydarzenia „Wieczór Wiedeński w Krakowie”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§11</w:t>
      </w:r>
      <w:r w:rsidDel="00000000" w:rsidR="00000000" w:rsidRPr="00000000">
        <w:rPr>
          <w:sz w:val="28"/>
          <w:szCs w:val="28"/>
          <w:rtl w:val="0"/>
        </w:rPr>
        <w:t xml:space="preserve">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Młodzieżowa Rada Krakowa obejmuje patronat nad wydarzeniem „Wieczór Wiedeński w Krakowie”.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 xml:space="preserve">    </w:t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2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eVl4lVHO/Nv2NrOJy5v0YstAvw==">CgMxLjA4AHIhMWg5VUZ5MklZNldvN1V5SFBGVnQ2cUR0TjZxcXpTRUIy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