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XI/20/23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objęcia patronatem wydarzenia „Pomoc dla aniołków pracy”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§11</w:t>
      </w:r>
      <w:r w:rsidDel="00000000" w:rsidR="00000000" w:rsidRPr="00000000">
        <w:rPr>
          <w:sz w:val="28"/>
          <w:szCs w:val="28"/>
          <w:rtl w:val="0"/>
        </w:rPr>
        <w:t xml:space="preserve">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Młodzieżowa Rada Krakowa obejmuje patronat nad wydarzeniem „Pomoc dla aniołków pracy”.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Uchwała wchodzi z dniem podjęcia.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 xml:space="preserve">    </w:t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2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6vdsOmXMWbnxc0UDe0gpnp2igQ==">CgMxLjA4AHIhMXhESzFtTm5KNW9DT3dyeks4VUJtVDlzMi1jbGo5XzdG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